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  <w:t xml:space="preserve">https://alenushka.tvoysadik.ru/org-info/education-implemented-program?id=1</w:t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r>
        <w:t xml:space="preserve"> </w:t>
      </w:r>
      <w:r/>
    </w:p>
    <w:p>
      <w:r/>
      <w:r/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/>
      <w:bookmarkStart w:id="0" w:name="_GoBack"/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Воображение является важнейшей стороной нашей жизни. Качественно новое социальное требование к системе образования в целом предполагает, что развивающему обществу нужны образованные и нравственные люди. Современная личность формируется далеко не во взросл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ой жизни. Как известно, фундамент таких качеств, как мировоззрение, характер, привычки закладываются у человека в раннем возрасте и если в этот период воображение специально не развивать, то в последующем наступает быстрое снижение активности этой функции.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Воображение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- способность воображать, творчески мыслить, фантазировать; мысленное представление (Толковый словарь Ожегова)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Творческая деятельность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— форма деятельности человека или коллектива - создание качественно нового, никогда ранее не существовавшего. (Бим-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Бад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 Б. М. Педагогический энциклопедический словарь.)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Активность личности 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- способность производить общественно значимые преобразования в мире на основе присвоения богатств материальной и духовной культуры. (Словарь практического психолога. — М.: АСТ,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Харвест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. С. Ю. Головин.)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 развитии воображения значимые показатели — это использование нового опыта и наличие внутренней особой позиции, которое позволяет не приспосабливаться к ситуации, а подчинять ее себе. Весь педагогическ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ий процесс в условиях дошкольного учреждения строится на игровой деятельности, которая включает в себя творчество и воображение. Творческие способности ребенка также развиваются в придумывании сказок, он может фантазировать вслух, играть звуками и словами.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Необходимо, чтобы дети имели возможность проявить творчество в сюжетных играх.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 – первых, необходимо, чтобы содержание игр соответствовало интересам и возможностям детей.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 – вторых, педагогическое сопровождение сюжетных игр должно строится с учетом нарастания самостоятельности творчества ребенка.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 – третьих, предметно - игровая среда детского сада должна быть динамично изменяющейся, а в ее создании должны принимать участие дети.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Известный исследователь детских игр Е. О. Смирнова нынешнее состояние игровой деятельности дошкольника сравнивает с экологическим бедствием – разладился механизм перед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ачи игры. А значит, нужно помочь детям, ведь игра – это самая детская жизнь, инстинктивная, связанная с исследованием, общением и выражением себя, сочетающая действие и мысль, приносящая удовлетворение и ощущение успеха («Декларация прав ребенка на игру»).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Если посмотреть ФГОС, то можно увидеть, что развитие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 воображения и творческой активности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относятся к области познавательного развития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; в результате освоения детьми основной общеобразовательной программы дошкольного образования у ребенка будет: 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- развита речь, память, внимание, воображение;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- совершенствованы познавательные и художественно-конструктивные способности;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- сформированы способности ставить перед собой цель и самостоятельно находить способы её решения.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Задачи в области познавательного развития.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Физическое развитие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: в развитие творческих способностей в физическом воспитании ребёнка нужно включение двигательного воображения, подражание животным, сказочным героям. Подражая животным, дети очень любят перевоплощаться в знакомые образы.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Подвижные сюжетно-образные игры со словами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: диалогом между ведущим и остальными игроками помогают застенчивому ребенку раскрыться, перебороть свой страх (игра «Волк и зайцы») и наоборот шумные,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гиперактивны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 дети, изображая зайцев, учатся приема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м самообладания. Использование сюжетных занятий дает возможность каждому ребенку на короткое время побывать в сказке, в Космосе или подводном царстве, ощутить себя сказочным персонажем, выполняющим важные и ответственные задания. Разнообразие двигательных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игровых ситуаций и сюжетов позволяет расширить кругозор детей, развивает воображение («шагаем по сугробам», «летим в Космос», «попали на необитаемый остров» и др.). Используя музыку, способствуем более эффективному перевоплощению детей и вхождению в сюжет.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Социально – коммуникативное развитие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: игры – драматизации. Игра – драматизация представляет собой разновидность театрализованной сюжетно – ролевой, режиссёрской и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гры. Сохраняет типичные признаки сюжетно – ролевой игры: содержание, творческий замысел, роль, сюжет, ролевые и организационные действия и отношения. Играя роль, ребёнок может не только представлять, но и эмоционально переживать поступки своего персонажа.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Это, безусловно, влияет на развитие воображения ребёнка. Эстетические переживания помогают ребёнку испытать восхищение теми проявлениями жизни, которые он раньше не замечал, и передать их с помощью движений, жестов, мимики и других средств выразительности.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Игра – драматизация может быть представлена схематично – цепочкой последовательных действий.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Сюжет игры – выбор сказки. Пересказ, её обсуждение.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Организация игры – распределение ролей. Обустройство игрового пространства.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Непосредственная игра детей.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 Сюжетно – ролевые игры: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основной особенностью сюжетно-ролевой игры является наличие в ней воображаемой ситуации. Воображаемая си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туация складывается из сюжета и ролей. Сюжет игры — это ряд событий, которые объединены жизненно мотивированными связями. В сюжете раскрывается содержание игры - характер тех действий и отношений, которыми связаны участники событий. Роль является основным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стержнем сюжетно-ролевой игры. Наличие роли в игре означает, что в своем сознании ребенок отождествляет себя с тем или и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ным человеком и действует в игре от его имени. Ребенок соответствующим образом использует те или иные предметы, вступает в разнообразные отношения с другими играющими. В сюжете дети используют два вида действий: оперативные и изобразительные - «как будто».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Игра - самостоятельная деятельность, в которой дети вступа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ют в общение со сверстниками. Их объединяет единая цель, совместные усилия к ее достижению, общие интересы и переживания. В игре ребенок начинает чувствовать себя членом коллектива, справедливо оценивать действия и поступки своих друзей и свои собственные.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Речевое развитие: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дидактические игры на развитие речи.  Игра «Укрась слово». Эта игра хорошо развивает образное мышление, воображение.  Эта словесная игра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требует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 как богатого воображения, так и здравого смысла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Придумывание сказки, рассказа, небылицы – этот метод развивает воображение и творческую речь.  В основе сю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жета многих сказок - действия какого- либо героя: он путешествует с определенной целью, при этом взаимодействует с другими объектами (преодолевает препятствия, решает задачи, изменяясь при этом сам и меняя объекты взаимодействия) и многому может научиться.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Художественно эстетическое развитие: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изобразительное творчество.  Методика: «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Дорисовывание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 фигур».  Цель: определение уровня развития творческого воображения, способности создавать новые образы.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Музыкальное творчество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- проведение праздников, утренников.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Творческие задачи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. При решении изобретательских задач основное место занимает работа с противоречиями.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Игры на развитие воображения и творческого мышления.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Космическое путешествие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Cambria Math" w:hAnsi="Cambria Math" w:eastAsia="Times New Roman" w:cs="Cambria Math"/>
          <w:color w:val="555555"/>
          <w:sz w:val="24"/>
          <w:szCs w:val="24"/>
          <w:lang w:eastAsia="ru-RU"/>
        </w:rPr>
        <w:t xml:space="preserve">◈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Вырежьте из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 бумаги несколько кругов разного размера, разложите их в произвольном порядке. Предложите ребенку представить, что круги — это планеты, на каждой из которых есть свои обитатели. Попросите малыша придумать названия планет, заселить их различными существами.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Cambria Math" w:hAnsi="Cambria Math" w:eastAsia="Times New Roman" w:cs="Cambria Math"/>
          <w:color w:val="555555"/>
          <w:sz w:val="24"/>
          <w:szCs w:val="24"/>
          <w:lang w:eastAsia="ru-RU"/>
        </w:rPr>
        <w:t xml:space="preserve">◈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Мягко направляйте воображение ребенка, например, выскажите предположение о том, что на одной планете должны жить только добрые создания, на другой — злые, на третьей — грустные и т. п.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Cambria Math" w:hAnsi="Cambria Math" w:eastAsia="Times New Roman" w:cs="Cambria Math"/>
          <w:color w:val="555555"/>
          <w:sz w:val="24"/>
          <w:szCs w:val="24"/>
          <w:lang w:eastAsia="ru-RU"/>
        </w:rPr>
        <w:t xml:space="preserve">◈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Пусть   малыш проявит фантазию и нарисует жителей каждой планеты. Вырезанные из бумаги, они могут «летать» друг к другу в гости, попадать в различные приключения, завоевывать чужие планеты.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Необитаемый остров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Cambria Math" w:hAnsi="Cambria Math" w:eastAsia="Times New Roman" w:cs="Cambria Math"/>
          <w:color w:val="555555"/>
          <w:sz w:val="24"/>
          <w:szCs w:val="24"/>
          <w:lang w:eastAsia="ru-RU"/>
        </w:rPr>
        <w:t xml:space="preserve">◈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Предложите ребенку поиграть в путешественников, попавших на необитаемый остров. Роли главных героев могут исполнять любимые игрушки.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Cambria Math" w:hAnsi="Cambria Math" w:eastAsia="Times New Roman" w:cs="Cambria Math"/>
          <w:color w:val="555555"/>
          <w:sz w:val="24"/>
          <w:szCs w:val="24"/>
          <w:lang w:eastAsia="ru-RU"/>
        </w:rPr>
        <w:t xml:space="preserve">◈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Высадите героев на остров и начинайте планировать: что нужно путешественникам для того, чтобы построить дом, наладить свой быт.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Cambria Math" w:hAnsi="Cambria Math" w:eastAsia="Times New Roman" w:cs="Cambria Math"/>
          <w:color w:val="555555"/>
          <w:sz w:val="24"/>
          <w:szCs w:val="24"/>
          <w:lang w:eastAsia="ru-RU"/>
        </w:rPr>
        <w:t xml:space="preserve">◈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Рассматривайте самые необычные версии,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например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: дом или шалаш можно построить из пальмовых листьев или выдолбить в стволе толстого дерева с помощью заостренного камня. Из длинных водорослей можно сплести коврик, который будет служить постелью, и т. п.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Cambria Math" w:hAnsi="Cambria Math" w:eastAsia="Times New Roman" w:cs="Cambria Math"/>
          <w:color w:val="555555"/>
          <w:sz w:val="24"/>
          <w:szCs w:val="24"/>
          <w:lang w:eastAsia="ru-RU"/>
        </w:rPr>
        <w:t xml:space="preserve">◈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 Обговорите, кого могут встретить путешественники, какие опасности им грозят.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Вулкан (автор —Л. 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Названова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)</w:t>
      </w:r>
      <w:r>
        <w:rPr>
          <w:rFonts w:ascii="Liberation Serif" w:hAnsi="Liberation Serif" w:eastAsia="Times New Roman" w:cs="Tahoma"/>
          <w:color w:val="007ad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"/>
                <wp:effectExtent l="0" t="0" r="0" b="0"/>
                <wp:docPr id="1" name="Рисунок 7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Хочу такой сайт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60pt;height:0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 w:eastAsia="Times New Roman" w:cs="Tahoma"/>
          <w:color w:val="007ad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"/>
                <wp:effectExtent l="0" t="0" r="0" b="0"/>
                <wp:docPr id="2" name="Рисунок 8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Хочу такой сайт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60pt;height:0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Цель: развивать воображение и способность к пере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воплощению, развивать кругозор.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Возраст: 5-6 лет.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Количество играющих: много.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Описание игры: ведущий становится в центре пло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щадки, это «вулкан», рядом с ним стоят 2-3 ребенка («лава»). Пока «вулкан» спокоен, «лава» находится рядом с ним, «вулкан» даже может обнять «лаву», чтобы она не убежала раньше времени. Остальные дети становятся вокруг «вулкана».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«Вулкан» начинает игру: «Стоит высокая-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превы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-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сокая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 гора — вулкан, а на ее склонах живут люди. Они работают: строят дома, стирают, танцуют и т. д. (слушая перечисление, дети, стоящие вокруг «вул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кана», выполняют движения, показывая, что дела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ют люди). Но вот вулкан просыпается, внутри него разогревается лава, вулкан гудит, но люди его не слышат, потому что заняты своими делами (дети показывают, какими). И вдруг вулкан взрывает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ся, падают камни, лава вырывается и нагоняет лю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дей» — «вулкан» отпускает «лаву», и она начинает гоняться за другими детьми, пойманных приводят к «вулкану».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Комментарий: чтобы дети хорошо смогли «войти» в роль, необходимо достаточно длительное время, игра может занять около 30-40 минут (если детям будет ин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тересно, они могут играть еще дольше). Перед началом игры можно потренировать детей в имитации тех или иных действий людей, в отдельное упражнение может превратиться игра в «вулкан» и «лаву», что только усилит творческую способность детей.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Магнит и шарики (автор —Л. 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Названова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)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Цель: развитие воображения и способности к пере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воплощению, расширение кругозора детей.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Возраст: 4-6 лет.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Количество играющих: группа.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Описание игры: выбирают «магнит», он садится в стороне. Затем ведущий говорит остальным детям: «Я произношу волшебные слова —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крибле-крабле-бумс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 — и превращаю вас в деревянные шарики, которые ка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таются по полу, прыгают, постукивают». Дети могут бегать, сталкиваясь, они должны сказать: «тук-тук-тук». Они не обращают внимания на «магнит».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Затем ведущий говорит: «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Крибле-крабле-бумс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! Пре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вращаю вас в резиновые шарики!». Дети прыгают на носочках и, сталкиваясь, говорят: «Пум-пум-пум!» — и не обращают внимания на «магнит».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Ведущий: «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Крибле-крабле-бумс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! Превращаю вас в железные шарики!» — дети бегают, при столкнове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нии говоря: «Дон-дон-дон!». Увидев «магнит», они все устремляются к нему. «Магнит» медленно пере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двигается, а дети, взявшись за него руками, следуют за ним.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Ведущий говорит: «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Крибле-крабле-бумс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! Превра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щаю вас в бумажные шарики!». Дети бросают «маг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нит» и бегают с шипением: «Ш-ш-ш!».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 конце игры ведущий говорит: «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Крибле-крабле-бумс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! Превращаю вас в детей».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Комментарий: важно напомнить детям характер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ные особенности того или иного материала, тогда им будет легче передать их в движении. Чтобы предот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вратить сильные 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столкновения, можно предупредить детей, что тогда «шарики» «лопаются» или «раскалы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ваются» — выходят из игры.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Придумай слова (автор — И. 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Климина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)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Цель: развитие воображения, эмоциональной сфе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ры.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Возраст: 5-6 лет.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Количество играющих: любое.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Необходимые приспособления: рисунки с изображе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нием сказочных персонажей.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Описание игры: дети рассматривают рисунок, а по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том они должны придумать как можно больше слов для характеристики того, кто изображен на картинке.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Комментарий: взрослый должен помнить, что в зависимости от рисунка и личностных особенностей детей характер героев может кардинально меняться. Это нужно принимать во внимание.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Волшебные превращения (автор — К. 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Фопель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)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Цель: развитие воображения, умения перевопло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щаться.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Возраст: 4-5 лет.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Количество играющих: 3-6 человек.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Описание игры: детям предлагают «превратиться» в ягоды, фрукты, пароходик, игрушку и т. д. Взрослый (или кто-то из детей начинает игру словами: «Мы за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ходим в... (пауза, чтобы дети сконцентрировались) сад... (пауза, каждый ребенок должен решить, каким фруктом он будет). Раз, два, три!» После этой коман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ды дети принимают вид задуманного фрукта.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Комментарий: взрослый (или ведущий-ребенок) должен творчески подойти к дальнейшему продол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жению игры. Ему нужно придумать какую-нибудь историю с участием детей. Но для начала он должен, конечно, догадаться, кто в кого превратился.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Тюлени (автор — Н. 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Кряжева</w:t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)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Цель: развитие воображения, сообразительности, умения преодолевать препятствия.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Возраст: 6-7 лет.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Количество играющих: 5-6.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Необходимые приспособления: воздушный шарик, шарфики, корзина.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Описание игры: дети ложатся на пол, им связыва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ют ноги под коленями шарфиком — они теперь «тю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лени». Взрослый бросает воздушный шарик, который «тюлени» пытаются поймать или отобрать у других и забросить в корзину, стоящую на полу. Победителем становится самый меткий и самый «вежливый» «тю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лень».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Комментарий: ограничение подвижности стиму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лирует детей к поиску новых способов передвижения, способов достижения желаемой цели — мячика.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Взрослому важно помнить, что тактика поведения детей в такой ситуации различна: одни пасуют, пре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кращают игру, их необходимо приободрить, а дру</w:t>
      </w:r>
      <w:r>
        <w:rPr>
          <w:rFonts w:ascii="Liberation Serif" w:hAnsi="Liberation Serif" w:eastAsia="Times New Roman" w:cs="Times New Roman"/>
          <w:color w:val="555555"/>
          <w:sz w:val="24"/>
          <w:szCs w:val="24"/>
          <w:lang w:eastAsia="ru-RU"/>
        </w:rPr>
        <w:t xml:space="preserve">гие хитрят, нарушают правила — таких детей нужно сдерживать.</w:t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lang w:eastAsia="ru-RU"/>
        </w:rPr>
        <w:t xml:space="preserve">Источник: «Развитие эмоций и чувств у детей дошкольного возраста». Г.А. Широкова</w:t>
      </w:r>
      <w:bookmarkEnd w:id="0"/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highlight w:val="none"/>
          <w:lang w:eastAsia="ru-RU"/>
        </w:rPr>
      </w:r>
    </w:p>
    <w:p>
      <w:pPr>
        <w:ind w:left="0" w:right="0" w:firstLine="708"/>
        <w:jc w:val="both"/>
        <w:spacing w:line="235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555555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8"/>
        <w:jc w:val="both"/>
        <w:spacing w:line="235" w:lineRule="atLeast"/>
        <w:rPr>
          <w:rFonts w:ascii="Liberation Serif" w:hAnsi="Liberation Serif" w:eastAsia="Liberation Serif" w:cs="Liberation Serif"/>
          <w:color w:val="555555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555555"/>
          <w:sz w:val="24"/>
          <w:highlight w:val="none"/>
        </w:rPr>
      </w:r>
      <w:r>
        <w:rPr>
          <w:rFonts w:ascii="Liberation Serif" w:hAnsi="Liberation Serif" w:eastAsia="Liberation Serif" w:cs="Liberation Serif"/>
          <w:color w:val="555555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555555"/>
          <w:sz w:val="24"/>
          <w:szCs w:val="24"/>
          <w:highlight w:val="none"/>
        </w:rPr>
      </w:r>
    </w:p>
    <w:p>
      <w:pPr>
        <w:pStyle w:val="658"/>
        <w:ind w:left="360" w:firstLine="0"/>
        <w:jc w:val="both"/>
        <w:spacing w:before="40" w:after="240" w:line="286" w:lineRule="atLeast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/>
          <w:b/>
          <w:bCs/>
          <w:sz w:val="24"/>
          <w:szCs w:val="24"/>
          <w:highlight w:val="none"/>
        </w:rPr>
        <w:t xml:space="preserve">Стр. 176 - 2.2.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Инструментарий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е)</w:t>
      </w:r>
      <w:r>
        <w:rPr>
          <w:sz w:val="26"/>
        </w:rPr>
      </w:r>
      <w:r>
        <w:rPr>
          <w:sz w:val="26"/>
        </w:rPr>
      </w:r>
    </w:p>
    <w:tbl>
      <w:tblPr>
        <w:tblStyle w:val="6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691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Образовательная область/задачи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Инструментарий инвариантной части программы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Познавательное развитие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426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1.Сенсорные эталоны и познавательные действия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426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2.Математические представления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426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3.Окружающий мир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426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4.Природа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426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Задачи ссылка на ФОП ДО Приказ Министерства просвещения Российской Федерации от 25.11.2022 № 1028</w:t>
              <w:br/>
              <w:t xml:space="preserve"> "Об утверждении федеральной образовательной программы дошкольного образования"</w:t>
              <w:br/>
              <w:t xml:space="preserve"> (Зарегистрирован 28.12.2022 № 71847)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1.Сенсорные эталоны и познавательные действия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Савенков А.И. Маленький исследователь. — Самара: ИД «Федоров», 2010. Савенков А.И. Методика исследовательского обучения дошкольников. — Самара: ИД «Федоров», 2010.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Пособие «УМники-РАЗУМники»Упражнения для будущих первоклассников (автор И. В. Кузнецова)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2.Математические представления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Математика в детском саду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Авторская программа В.Н.Новиковой Сценарии занятий 3–4 года.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Сценарии занятий 4–5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Сценарии занятий 5–6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Сценарии занятий 6–7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Рабочая тетрадь 3–4 года.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Рабочая тетрадь 4–5 лет.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Математика в детском саду. Рабочая тетрадь 5–6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Рабочая тетрадь 6–7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Демонстрационный материал: 3–7 лет.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Математика в детском саду. Раздаточный материал: 3–5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Раздаточный материал: 5–7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Математика в детском саду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Помораева И.А., Позина В.А. Формирование элементарных математических представлений: Младшая группа (3–4 года).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Помораева И.А., Позина В.А. Формирование элементарных математических представлений: Средняя группа (4–5 лет). Помораева И.А., Позина В.А. Формирование элементарных математических представлений: Старшая группа (5–6 лет).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Помораева И.А., Позина В.А. Формирование элементарных математических представлений: Подготовительная к школе группа (6–7 лет). Сборник подвижных игр / Автор-сост. Э. Я. Степаненкова.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Практический курс математики для детей 3-4 лет. Методические рекомедации. Часть 1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3-4 лет. Ступень 1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3-4 лет. Демонстрационный материал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3-4 лет. Раздаточный материал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4-5 лет. Ступень 2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Практический курс математики для детей 4-5 лет. Методические рекомедации. Часть 2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Практический курс математики для детей 5-6 лет. Метод.рекомендации. Часть 3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5-6 лет. Ступень 3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5-6 лет. Демонстрационный материал 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5-6 лет. Раздаточный материал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Часть 1.  Демонстрационный материал 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Часть 2.  Демонстрационный материал 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часть4(1)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Игралочка - ступенька к школе. Практический курс математики для дошкольников. Методические рекомендации. Ступень 4 (1-2) 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Ступень 4 (2)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Е.Е.Который час? Математика для детей 5-7 лет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Е.Е.Считаем до 5.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Е.Е.Формы и Фигуры.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3.Окружающий мир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Юный эколог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 Парциальная программа С.Н.Николаевой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Программа «Юный эколог»: 3–7 лет. Система работы в младшей группе: 3–4 года.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Юный эколог.  Система работы в средней группе: 4–5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Юный эколог. Система работы в старшей группе: 5–6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Юный эколог. Система работы в подготовительной к школе группе: 6–7 лет.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Юный эколог. Календарь сезонных наблюдений (5–9 лет).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Методическое пособие. Приобщение дошкольников к природе в детском саду и дома. Методическое пособие. Система экологического воспитания дошкольников.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Методическое пособие. Плакаты: «Где в природе есть вода», «Зачем люди ходят в лес», «Зачем пилят деревья», «Как лесник заботится о лесе», «Кому нужны деревья в лесу», «Лес — многоэтажный дом», «Пищевые цепочки», «Этого не следует делать в лесу». Картины из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 жизни диких животных: «Бурый медведь.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Наглядное пособие с методическими рекомендациями», «Заяц-беляк. Наглядное пособие с методическими рекомендациями».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Под ред. Г.Г. ОнищенкоЯ питаюсь правильно! 5+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Под ред. Онищенко Г. Г.Я питаюсь правильно! 7+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4.Природа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Вторая группа раннего возраста (2–3 года).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Младшая группа (3–4 года).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Средняя группа (4–5 лет).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Старшая группа (5–6 лет). Соломенникова О.А. Ознакомление с природой в детском саду: Подготовительная к школе группа (6–7 лет).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4.Природа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Вторая группа раннего возраста (2–3 года).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Младшая группа (3–4 года).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Средняя группа (4–5 лет).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Соломенникова О.А. Ознакомление с природой в детском саду: Старшая группа (5–6 лет). Соломенникова О.А. Ознакомление с природой в детском саду: Подготовительная к школе группа (6–7 лет).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</w:tbl>
    <w:p>
      <w:r/>
      <w:r/>
    </w:p>
    <w:p>
      <w:pPr>
        <w:ind w:firstLine="709"/>
        <w:jc w:val="both"/>
        <w:rPr>
          <w:rFonts w:ascii="Liberation Serif" w:hAnsi="Liberation Serif"/>
          <w:b/>
          <w:bCs/>
          <w:sz w:val="24"/>
          <w:szCs w:val="24"/>
          <w:highlight w:val="none"/>
        </w:rPr>
      </w:pPr>
      <w:r>
        <w:rPr>
          <w:rFonts w:ascii="Liberation Serif" w:hAnsi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/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/>
          <w:b/>
          <w:bCs/>
          <w:sz w:val="24"/>
          <w:szCs w:val="24"/>
        </w:rPr>
      </w:r>
      <w:r>
        <w:rPr>
          <w:rFonts w:ascii="Liberation Serif" w:hAnsi="Liberation Serif"/>
          <w:b/>
          <w:bCs/>
          <w:sz w:val="24"/>
          <w:szCs w:val="24"/>
        </w:rPr>
      </w:r>
    </w:p>
    <w:p>
      <w:pPr>
        <w:ind w:firstLine="709"/>
        <w:jc w:val="both"/>
        <w:spacing w:after="0" w:line="330" w:lineRule="atLeast"/>
        <w:shd w:val="clear" w:color="auto" w:fill="ffffff"/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color w:val="555555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  <w:r>
        <w:rPr>
          <w:rFonts w:ascii="Liberation Serif" w:hAnsi="Liberation Serif" w:eastAsia="Times New Roman" w:cs="Tahoma"/>
          <w:color w:val="555555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Cambria Math">
    <w:panose1 w:val="02000603000000000000"/>
  </w:font>
  <w:font w:name="Liberation Serif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7</cp:revision>
  <dcterms:created xsi:type="dcterms:W3CDTF">2023-10-09T06:04:00Z</dcterms:created>
  <dcterms:modified xsi:type="dcterms:W3CDTF">2023-12-06T04:34:31Z</dcterms:modified>
</cp:coreProperties>
</file>