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Развитие любознательности, интереса и мотивации к познавательной деятельности</w:t>
      </w: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i/>
          <w:iCs/>
          <w:sz w:val="24"/>
          <w:szCs w:val="24"/>
        </w:rPr>
        <w:t xml:space="preserve">Любознательность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– особая форма</w:t>
      </w:r>
      <w:r>
        <w:rPr>
          <w:rFonts w:ascii="Liberation Serif" w:hAnsi="Liberation Serif"/>
          <w:sz w:val="24"/>
          <w:szCs w:val="24"/>
        </w:rPr>
        <w:t xml:space="preserve"> познавательной активности, недифференцированная направленность ребёнка на познание окружающих предметов, явлений, на овладение деятельностью. Это определение говорит о том, что любознательному ребёнку не важно, что он будет познавать, главное – познавать.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Мы понимаем </w:t>
      </w:r>
      <w:r>
        <w:rPr>
          <w:rFonts w:ascii="Liberation Serif" w:hAnsi="Liberation Serif"/>
          <w:i/>
          <w:iCs/>
          <w:sz w:val="24"/>
          <w:szCs w:val="24"/>
        </w:rPr>
        <w:t xml:space="preserve">любознательность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как интегративное качество, проявляющееся в стремлении к получению знаний, необходимости обладания способом и системой получения знаний, стремление к получению и обработке новой информации.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Любознательность и по</w:t>
      </w:r>
      <w:r>
        <w:rPr>
          <w:rFonts w:ascii="Liberation Serif" w:hAnsi="Liberation Serif"/>
          <w:sz w:val="24"/>
          <w:szCs w:val="24"/>
        </w:rPr>
        <w:t xml:space="preserve">знавательные интересы дошкольника проявляются в его отношении к окружающему миру. Необходимой предпосылкой их развития являются ориентировочные реакции, вызываемые новизной, необычностью предмета, его несоответствием с имеющимися у ребенка представлениями.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Любознательность и познавательные интересы влияют на р</w:t>
      </w:r>
      <w:r>
        <w:rPr>
          <w:rFonts w:ascii="Liberation Serif" w:hAnsi="Liberation Serif"/>
          <w:sz w:val="24"/>
          <w:szCs w:val="24"/>
        </w:rPr>
        <w:t xml:space="preserve">азвитие ребенка. Они побуждают его к самостоятельному расширению и углублению знаний в интересующей области. Под влиянием любознательности и познавательных интересов развиваются и обогащаются нравственные и эстетические чувства ребенка, а его умственные во</w:t>
      </w:r>
      <w:r>
        <w:rPr>
          <w:rFonts w:ascii="Liberation Serif" w:hAnsi="Liberation Serif"/>
          <w:sz w:val="24"/>
          <w:szCs w:val="24"/>
        </w:rPr>
        <w:t xml:space="preserve">зможности находят выход в содержательных видах деятельности. Поскольку познавательный интерес связан с волевыми усилиями, он становится важным стимулом воспитания таких ценных качеств личности, как целеустремленность, настойчивость, стремление к завершению</w:t>
      </w:r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 мнению многих психологов, любознательность, как общая недифференцированная познавате</w:t>
      </w:r>
      <w:r>
        <w:rPr>
          <w:rFonts w:ascii="Liberation Serif" w:hAnsi="Liberation Serif"/>
          <w:sz w:val="24"/>
          <w:szCs w:val="24"/>
        </w:rPr>
        <w:t xml:space="preserve">льная направленность личности ребенка, может являться основой возникновения устойчивого познавательною интереса, направленного на определенный предмет и определенную деятельность; временная периодическая, но систематически возникающая и положительно эмоцио</w:t>
      </w:r>
      <w:r>
        <w:rPr>
          <w:rFonts w:ascii="Liberation Serif" w:hAnsi="Liberation Serif"/>
          <w:sz w:val="24"/>
          <w:szCs w:val="24"/>
        </w:rPr>
        <w:t xml:space="preserve">нально окрашенная направленность ребенка на познавательный материал приводит к любознательности; любознательность позволяем ребенку расширить круг знаний и углубить понимание окружающей действительности, на основе ее формируется дифференцированный интерес.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Не менее существенной особенностью любознательности является то, что она может быть</w:t>
      </w:r>
      <w:r>
        <w:rPr>
          <w:rFonts w:ascii="Liberation Serif" w:hAnsi="Liberation Serif"/>
          <w:sz w:val="24"/>
          <w:szCs w:val="24"/>
        </w:rPr>
        <w:t xml:space="preserve"> условием успешной активной умственной деятельности и в то же время снижает утомление, повышая работоспособность ребенка. При наличии любознательности знания быстрее переходят в область активного их использования, становятся внутренним достоянием личности.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Любознательность ребенка служит основой возникновения устойчивого познавательного интереса, направленного на предметы, объекты природы, виды деятельности. Источниками возникновения любознательности являются положительно эмоционал</w:t>
      </w:r>
      <w:r>
        <w:rPr>
          <w:rFonts w:ascii="Liberation Serif" w:hAnsi="Liberation Serif"/>
          <w:sz w:val="24"/>
          <w:szCs w:val="24"/>
        </w:rPr>
        <w:t xml:space="preserve">ьно окрашенная направленность ребенка на познавательный материал. Значение наличия любознательности у детей велика: она позволяет ребенку расширить круг знаний и углубить понимание окружающей действительности. Не случайно в толковом словаре русского языка </w:t>
      </w:r>
      <w:r>
        <w:rPr>
          <w:rFonts w:ascii="Liberation Serif" w:hAnsi="Liberation Serif"/>
          <w:sz w:val="24"/>
          <w:szCs w:val="24"/>
        </w:rPr>
        <w:t xml:space="preserve">С.И.Ожегова</w:t>
      </w:r>
      <w:r>
        <w:rPr>
          <w:rFonts w:ascii="Liberation Serif" w:hAnsi="Liberation Serif"/>
          <w:sz w:val="24"/>
          <w:szCs w:val="24"/>
        </w:rPr>
        <w:t xml:space="preserve"> любознательный характеризуется как склонный к приобретению новых знаний, пытливый [10].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Мотив</w:t>
      </w:r>
      <w:r>
        <w:rPr>
          <w:rFonts w:ascii="Liberation Serif" w:hAnsi="Liberation Serif"/>
          <w:sz w:val="24"/>
          <w:szCs w:val="24"/>
        </w:rPr>
        <w:t xml:space="preserve"> — одно из ключевых понятий психологической теории деятельности. Наиболее простое определение мотива в рамках этой теории: «Мотив — это опредмеченная потребность». </w:t>
      </w:r>
      <w:r>
        <w:rPr>
          <w:rFonts w:ascii="Liberation Serif" w:hAnsi="Liberation Serif"/>
          <w:sz w:val="24"/>
          <w:szCs w:val="24"/>
        </w:rPr>
        <w:t xml:space="preserve">Например</w:t>
      </w:r>
      <w:r>
        <w:rPr>
          <w:rFonts w:ascii="Liberation Serif" w:hAnsi="Liberation Serif"/>
          <w:sz w:val="24"/>
          <w:szCs w:val="24"/>
        </w:rPr>
        <w:t xml:space="preserve">: жажда — это потребность, желание утолить жажду — это мотив, а бутылка с водой, к которой человек тянется — это цель.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</w:t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pP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  <w:t xml:space="preserve">https://alenushka.tvoysadik.ru/org-info/education-implemented-program?id=1</w:t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</w:p>
    <w:p>
      <w:pPr>
        <w:spacing w:after="0" w:line="240" w:lineRule="auto"/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pP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  <w:r>
        <w:rPr>
          <w:rFonts w:ascii="Liberation Serif" w:hAnsi="Liberation Serif" w:eastAsia="Times New Roman" w:cs="Times New Roman"/>
          <w:color w:val="0563c1"/>
          <w:sz w:val="24"/>
          <w:szCs w:val="24"/>
          <w:u w:val="single"/>
          <w:lang w:val="en-US" w:eastAsia="ru-RU"/>
        </w:rPr>
      </w:r>
    </w:p>
    <w:p>
      <w:pPr>
        <w:keepLines/>
        <w:keepNext/>
        <w:spacing w:before="240" w:after="0"/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val="en-US" w:eastAsia="ru-RU"/>
        </w:rPr>
        <w:outlineLvl w:val="0"/>
      </w:pP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стр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. 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31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val="en-US" w:eastAsia="ru-RU"/>
        </w:rPr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val="en-US" w:eastAsia="ru-RU"/>
        </w:rPr>
      </w:r>
    </w:p>
    <w:tbl>
      <w:tblPr>
        <w:tblpPr w:horzAnchor="margin" w:tblpXSpec="left" w:vertAnchor="text" w:tblpY="476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81"/>
        <w:gridCol w:w="4664"/>
      </w:tblGrid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Задачи образовательной области «Познавательное развитие»</w:t>
            </w: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поощрять целенаправленны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 формировать стремление детей к подражанию действиям взрослых, понимать обозначающие их слова;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0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развивать познавательный интерес к близким людям, к предметному окружению, природным объектам; формировать умения ориентироваться в ближайшем окружении;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0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8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совершенствовать обследовательские действия: выделение цвета, формы, величины как особых призн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 развивать разные виды восприятия: зрительного, слухового, осязательного, вкусового, обонятельного;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8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развивать наглядно-действенное мышление в процессе решения познавательных практических задач; развивать первоначальные представления о себе и близких людях, эмоционал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ьно-положительное отношение к членам семьи и людям ближайшего окружения, о деятельности взрослых; 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8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организовывать взаимодействие и знак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омить с животными и растениями ближайшего окружения, их названиями, строением и отличительными особенностями, некоторыми объектами неживой природы; развивать способность наблюдать за явлениями природы, воспитывать бережное отношение к животным и растениям.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8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Содержание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образовательной области «Познавательное развитие»</w:t>
            </w: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Поддерживает владение предметом, как средством достижения цели для начала развития предметно-орудийных действий;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опредмеченные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слова-названия, например, 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предэталоны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формы: "кирпичик", "крыша", "огурчик", "яичко" и тому подобное.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Создает условия для многократного повторения освоенных действий, вносит новые элементы в игры-манипуляции. Демонстрирует разнообразные дей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ствия со сборно-разборными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концентрирует внимание д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етей на новых объектах, поддерживает интерес к знакомым предметам, поощряет самостоятельные действия ребенка, одобряет их словом, интонацией, развивает стремление к общению со взрослым в ходе выполнения обследовательских и поисковых действий с предметами; 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формирует у детей элементарные представления: о самом себе -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ближайшем предметном окружении - игрушках, их названиях, предметах быта, мебели, 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спальных принадлежностях, посуде); о личных вещах; о некоторых конкретных, близких ребенку, ситуациях общественной жизни.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ind w:left="0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29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поощряет действия детей с предметами, при ориентации на 2 - 3 свойства одновременно; собирание одноцветных, а затем и разноцветных пирамидок из 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4 - 5 и более колец, располагая их по убывающей величине; различных по форме и цвету башенок из 2 - 3 геометрических форм-вкладышей; 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разбирание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собирание трехместной матрешки с совмещением рисунка на ее частях, закрепляя понимание детьми слов, обозначающих различный размер предметов, их цвет и форму.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29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29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продолжает поощрять появление настойчивости в достижении результата познавательных действий.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29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демонстриру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Организует действия с игрушками, имитирующими орудия труда (заколачивание молоточком 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втулочек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29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29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расширяет представления детей об окружающем мире, развивает представления о себе (о своем 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отдохнул; намочил - вытер; заплакал - засмеялся и так далее); о деятельности близких ребенку людей ("Мама моет пол"; "Бабушка вяжет носочки"; "Сестра рисует"; "Дедушка читает газету"; "Брат строит гараж"; "Папа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29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работает за компьютером" и тому подобное);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знакомит их с явлениями общественной ж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изни, с деятельностью взрослых (повар варит кашу, шофер водит машину, доктор лечит);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29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29" w:firstLine="0"/>
              <w:keepLines/>
              <w:keepNext/>
              <w:spacing w:after="0" w:line="240" w:lineRule="auto"/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 подводит детей к освоению простейших умений в различении формы окружающих предметов, используя 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предэталоные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keepLines/>
        <w:keepNext/>
        <w:spacing w:before="240" w:after="0"/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outlineLvl w:val="0"/>
      </w:pP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Стр. 71</w:t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</w:r>
      <w:r>
        <w:rPr>
          <w:rFonts w:ascii="Liberation Serif" w:hAnsi="Liberation Serif" w:eastAsia="Times New Roman" w:cs="Times New Roman"/>
          <w:b/>
          <w:color w:val="000000" w:themeColor="text1"/>
          <w:sz w:val="24"/>
          <w:szCs w:val="24"/>
          <w:lang w:eastAsia="ru-RU"/>
        </w:rPr>
      </w:r>
    </w:p>
    <w:p>
      <w:pPr>
        <w:keepLines/>
        <w:keepNext/>
        <w:spacing w:before="40" w:after="0" w:line="240" w:lineRule="auto"/>
        <w:widowControl w:val="off"/>
        <w:rPr>
          <w:rFonts w:ascii="Liberation Serif" w:hAnsi="Liberation Serif" w:eastAsia="Times New Roman" w:cs="Liberation Serif"/>
          <w:b/>
          <w:color w:val="243f60"/>
          <w:sz w:val="24"/>
          <w:szCs w:val="24"/>
        </w:rPr>
        <w:outlineLvl w:val="2"/>
      </w:pPr>
      <w:r>
        <w:rPr>
          <w:rFonts w:ascii="Liberation Serif" w:hAnsi="Liberation Serif" w:eastAsia="Times New Roman" w:cs="Liberation Serif"/>
          <w:b/>
          <w:color w:val="243f60"/>
          <w:sz w:val="24"/>
          <w:szCs w:val="24"/>
        </w:rPr>
        <w:t xml:space="preserve">ПОЗНАВАТЕЛЬНОЕ РАЗВИТИЕ 3-7 лет</w:t>
      </w:r>
      <w:r>
        <w:rPr>
          <w:rFonts w:ascii="Liberation Serif" w:hAnsi="Liberation Serif" w:eastAsia="Times New Roman" w:cs="Liberation Serif"/>
          <w:b/>
          <w:color w:val="243f60"/>
          <w:sz w:val="24"/>
          <w:szCs w:val="24"/>
        </w:rPr>
      </w:r>
      <w:r>
        <w:rPr>
          <w:rFonts w:ascii="Liberation Serif" w:hAnsi="Liberation Serif" w:eastAsia="Times New Roman" w:cs="Liberation Serif"/>
          <w:b/>
          <w:color w:val="243f60"/>
          <w:sz w:val="24"/>
          <w:szCs w:val="24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3"/>
        <w:gridCol w:w="2346"/>
        <w:gridCol w:w="2333"/>
        <w:gridCol w:w="2323"/>
      </w:tblGrid>
      <w:tr>
        <w:trPr>
          <w:jc w:val="center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ОСНОВНЫЕ ЗАДАЧИ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/>
            <w:bookmarkStart w:id="0" w:name="_Hlk129260733"/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раздела «Сенсорные эталоны и познавательные действия»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2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6-7</w:t>
            </w:r>
            <w:bookmarkEnd w:id="0"/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25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представления детей о сенсорных эталонах цвета и формы, их использовании в самостоятельной деятельности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детей к самостоятельному познанию объектов окружающего мира в его разнообразных проявлениях и простейших зависимостях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самостоятельность, поощрять творчество детей в познавательно-исследовательской деятельности, избирательность познавательных интересов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883"/>
        </w:trPr>
        <w:tc>
          <w:tcPr>
            <w:shd w:val="clear" w:color="auto" w:fill="auto"/>
            <w:tcW w:w="125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умение непосредственного попарного сравнения предметов.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Обучать детей сравнению и группировке объектов на основе признаков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9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Обучать сравнению и группировке объектов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25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исследовательские умения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Обучать сравнению и группировке объектов живой и неживой природы на основе признаков.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9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учить детей использовать приёмы экспериментирования для познания объектов живой и неживой природы и их свойств и качеств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2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представления детей  о цифровых средствах, познания окружающего мира, способах их безопасного использования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умения детей применять некоторые цифровые средства, соблюдая правила их безопасного использования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раздела «Математические представления»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2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25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умение непосредственного попарного сравнения предметов по форме, величине и количеству, определяя их соотношение между собой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элементарные математические представления о количестве, числе, форме, величине предметов, пространственных и временных отношениях.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способность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использовать математические знания и аналитические способы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сериация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тому подобное); совершенствовать ориентировку в пространстве и времени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использование счета, вычислений, измерения, логических операций для познания и преобразования предметов окружающего мира;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gridSpan w:val="2"/>
            <w:shd w:val="clear" w:color="auto" w:fill="auto"/>
            <w:tcW w:w="250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Помогать осваивать чувственные способы ориентировки в пространстве и времени; развивать исследовательские умения.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49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пространственные и временные представления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125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исследовательские умения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  <w:t xml:space="preserve">Развивать способы решения поисковых задач в самостоятельной и совместной со сверстниками и взрослыми деятельности</w:t>
            </w:r>
            <w:r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8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  <w:t xml:space="preserve">Развивать интерес детей к самостоятельному познанию объектов окружающего мира в его разнообразных проявлениях и простейших зависимостях;</w:t>
            </w:r>
            <w:r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i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умения детей включаться в коллективное исследование, обсуждать его ход, договариваться о совместных продуктивных действиях, выдвигать т доказывать свои предположения, представлять совместные результаты познания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64" w:lineRule="auto"/>
        <w:rPr>
          <w:rFonts w:ascii="Times New Roman" w:hAnsi="Times New Roman" w:eastAsia="Times New Roman" w:cs="Times New Roman"/>
          <w:sz w:val="23"/>
          <w:szCs w:val="20"/>
          <w:lang w:eastAsia="ru-RU"/>
        </w:rPr>
      </w:pPr>
      <w:r>
        <w:rPr>
          <w:rFonts w:ascii="Liberation Serif" w:hAnsi="Liberation Serif" w:eastAsia="Times New Roman" w:cs="Liberation Serif"/>
          <w:b/>
          <w:sz w:val="23"/>
          <w:szCs w:val="20"/>
          <w:lang w:eastAsia="ru-RU"/>
        </w:rPr>
        <w:t xml:space="preserve">ПОЗНАВАТЕЛЬНОЕ РАЗВИТИЕ 3-7 лет</w:t>
      </w:r>
      <w:r>
        <w:rPr>
          <w:rFonts w:ascii="Times New Roman" w:hAnsi="Times New Roman" w:eastAsia="Times New Roman" w:cs="Times New Roman"/>
          <w:sz w:val="23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0"/>
          <w:lang w:eastAsia="ru-RU"/>
        </w:rPr>
      </w:r>
    </w:p>
    <w:tbl>
      <w:tblPr>
        <w:tblStyle w:val="905"/>
        <w:tblW w:w="5000" w:type="pct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contextualSpacing/>
              <w:ind w:left="0"/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«Сенсорные эталоны и познавательные действия»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осязательно-двигательные действия: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contextualSpacing/>
              <w:ind w:left="0" w:firstLine="0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рассматрива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ние,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contextualSpacing/>
              <w:ind w:left="0" w:firstLine="0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поглажива</w:t>
            </w:r>
            <w:bookmarkStart w:id="1" w:name="_GoBack"/>
            <w:r/>
            <w:bookmarkEnd w:id="1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ние,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contextualSpacing/>
              <w:ind w:left="0" w:firstLine="0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ощупывание ладонью, пальцами по контуру,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contextualSpacing/>
              <w:ind w:left="0" w:firstLine="0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прокатывание,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contextualSpacing/>
              <w:ind w:left="0" w:firstLine="0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бросание и тому подобное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769"/>
        </w:trPr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contextualSpacing/>
              <w:ind w:left="0" w:firstLine="0"/>
              <w:jc w:val="both"/>
              <w:tabs>
                <w:tab w:val="left" w:pos="42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расширяет представления ребёнка о различных цветах (красный, желтый, зеленый, синий, черный, белый),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contextualSpacing/>
              <w:ind w:left="0" w:firstLine="0"/>
              <w:jc w:val="both"/>
              <w:tabs>
                <w:tab w:val="left" w:pos="42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с оттенками (розовый, голубой, серый);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contextualSpacing/>
              <w:ind w:left="0" w:firstLine="0"/>
              <w:jc w:val="both"/>
              <w:tabs>
                <w:tab w:val="left" w:pos="42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слова, обозначающие цвет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Liberation Serif" w:hAnsi="Liberation Serif" w:eastAsia="Times New Roman" w:cs="Liberation Serif"/>
                <w:i/>
                <w:sz w:val="24"/>
                <w:szCs w:val="24"/>
                <w:lang w:eastAsia="ru-RU"/>
              </w:rPr>
              <w:t xml:space="preserve">формирует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у детей умение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firstLine="47"/>
              <w:jc w:val="both"/>
              <w:tabs>
                <w:tab w:val="left" w:pos="47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различать и называть уже известные цвета (красный, синий, зеленый, желтый, белый, черный) и оттенки (розовый, голубой, серый)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firstLine="47"/>
              <w:jc w:val="both"/>
              <w:tabs>
                <w:tab w:val="left" w:pos="472" w:leader="none"/>
              </w:tabs>
              <w:rPr>
                <w:rFonts w:ascii="Liberation Serif" w:hAnsi="Liberation Serif" w:eastAsia="Times New Roman" w:cs="Liberation Serif"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с новыми цветами и оттенками (коричневый, оранжевый, светло-зеленый).</w:t>
            </w:r>
            <w:r>
              <w:rPr>
                <w:rFonts w:ascii="Liberation Serif" w:hAnsi="Liberation Serif" w:eastAsia="Times New Roman" w:cs="Liberation Serif"/>
                <w:i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i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умения различать и называть: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contextualSpacing/>
              <w:ind w:left="0" w:firstLine="93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все цвета спектра: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contextualSpacing/>
              <w:ind w:left="0" w:firstLine="93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ахроматические цвета,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contextualSpacing/>
              <w:ind w:left="0" w:firstLine="93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оттенки цвета,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contextualSpacing/>
              <w:ind w:left="0" w:firstLine="93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тоны цвета,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contextualSpacing/>
              <w:ind w:left="0" w:firstLine="93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теплые и холодные оттенки,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contextualSpacing/>
              <w:ind w:left="0" w:firstLine="93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расширяет знания об известных цветах;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contextualSpacing/>
              <w:ind w:left="0" w:firstLine="93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с новыми цветами (фио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летовый) и оттенками (голубой, розовый, темно-зеленый, сиреневый)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осуществляет развитие у детей способности к различению и называнию всех цветов спектра;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ахроматических цветов, оттенков цвета, умения смешивать цвета для получения нужного тона и оттенка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tcW w:w="25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и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2500" w:type="pct"/>
            <w:textDirection w:val="lrTb"/>
            <w:noWrap w:val="false"/>
          </w:tcPr>
          <w:p>
            <w:pPr>
              <w:contextualSpacing/>
              <w:ind w:left="93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способность: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различать и называть геометрические фигуры;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contextualSpacing/>
              <w:ind w:left="93" w:firstLine="0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создает условия для освоения способа воссоздания фигуры из частей, деления фигуры на части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contextualSpacing/>
              <w:ind w:left="93" w:firstLine="0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выделения структуры плоских геометрических фигур,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использовать сенсорные эталоны для оценки свойств и качеств предметов</w:t>
            </w:r>
            <w:r>
              <w:rPr>
                <w:rFonts w:ascii="Liberation Serif" w:hAnsi="Liberation Serif" w:eastAsia="Times New Roman" w:cs="Liberation Serif"/>
                <w:i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i/>
                <w:sz w:val="24"/>
                <w:szCs w:val="24"/>
                <w:lang w:eastAsia="ru-RU"/>
              </w:rPr>
            </w:r>
          </w:p>
        </w:tc>
      </w:tr>
    </w:tbl>
    <w:tbl>
      <w:tblPr>
        <w:tblStyle w:val="906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>
        <w:trPr>
          <w:jc w:val="center"/>
          <w:trHeight w:val="20"/>
        </w:trPr>
        <w:tc>
          <w:tcPr>
            <w:gridSpan w:val="2"/>
            <w:tcBorders>
              <w:top w:val="single" w:color="auto" w:sz="2" w:space="0"/>
            </w:tcBorders>
            <w:tcW w:w="25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организуя поисковую деятельность: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contextualSpacing/>
              <w:ind w:left="0" w:firstLine="0"/>
              <w:jc w:val="both"/>
              <w:tabs>
                <w:tab w:val="left" w:pos="284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конкретизирует и обогащает познавательные действия детей;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contextualSpacing/>
              <w:ind w:left="0" w:firstLine="0"/>
              <w:jc w:val="both"/>
              <w:tabs>
                <w:tab w:val="left" w:pos="284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задаёт детям вопросы;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contextualSpacing/>
              <w:ind w:left="0" w:firstLine="0"/>
              <w:jc w:val="both"/>
              <w:tabs>
                <w:tab w:val="left" w:pos="284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обращает внимание на постановку целей;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contextualSpacing/>
              <w:ind w:left="0" w:firstLine="0"/>
              <w:jc w:val="both"/>
              <w:tabs>
                <w:tab w:val="left" w:pos="284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определение задач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2"/>
              </w:numPr>
              <w:contextualSpacing/>
              <w:ind w:left="0" w:firstLine="0"/>
              <w:jc w:val="both"/>
              <w:tabs>
                <w:tab w:val="left" w:pos="284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умение принимать образец, инструкцию взрослого.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2" w:space="0"/>
            </w:tcBorders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демонстрирует детям способы осуществления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разных видов познавательной деятельности,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контроля, самоконтроля и взаимоконтроля результатов деятельности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отдельных действий во взаимодействии со сверстниками, поощряет проявление наблюдательности за действиями взрослого и других детей.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2" w:space="0"/>
            </w:tcBorders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поддерживает стремление детей к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9"/>
              </w:numPr>
              <w:contextualSpacing/>
              <w:ind w:left="0" w:firstLine="0"/>
              <w:jc w:val="both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самостоятельному выбору способов осуществления разных видов познавательной деятельности,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9"/>
              </w:numPr>
              <w:contextualSpacing/>
              <w:ind w:left="0" w:firstLine="0"/>
              <w:jc w:val="both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обеспечению самоконтроля и взаимоконтроля результатов деятельности и отдельных действий во взаимодействии со сверстниками,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9"/>
              </w:numPr>
              <w:contextualSpacing/>
              <w:ind w:left="0" w:firstLine="0"/>
              <w:jc w:val="both"/>
              <w:tabs>
                <w:tab w:val="left" w:pos="422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использованию разных форм совместной познавательной деятельности.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W w:w="25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стремление самостоятельно завершить начатое действие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 процессе организации разных форм совместной познавательной деятельности показывает детей возможности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для обсуждения проблемы, для совместного нахождения способов ее решения, поощряет проявление инициативы, способности формулировать и отвечать на поставленные вопросы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Поощряет умение детей обсуждать проблему, совместно находить способы ее решения,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проявлять инициативу;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организует и поддерживает совместные действия ребёнка со взрослым и сверстниками при сравнении двух предметов по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одному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признаку направляет внимание детей на: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3"/>
              </w:numPr>
              <w:contextualSpacing/>
              <w:jc w:val="both"/>
              <w:tabs>
                <w:tab w:val="left" w:pos="284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выделение сходства,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3"/>
              </w:numPr>
              <w:contextualSpacing/>
              <w:jc w:val="both"/>
              <w:tabs>
                <w:tab w:val="left" w:pos="284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овладение действием соединения в пары предметов с ярко выраженными признаками сходства,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3"/>
              </w:numPr>
              <w:contextualSpacing/>
              <w:jc w:val="both"/>
              <w:tabs>
                <w:tab w:val="left" w:pos="284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группировкой по заданному предметному образцу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3"/>
              </w:numPr>
              <w:contextualSpacing/>
              <w:jc w:val="both"/>
              <w:tabs>
                <w:tab w:val="left" w:pos="284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по слову.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Liberation Serif" w:hAnsi="Liberation Serif" w:eastAsia="Times New Roman" w:cs="Liberation Serif"/>
                <w:i/>
                <w:sz w:val="24"/>
                <w:szCs w:val="24"/>
                <w:lang w:eastAsia="ru-RU"/>
              </w:rPr>
              <w:t xml:space="preserve">развивает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способность детей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4"/>
              </w:numPr>
              <w:contextualSpacing/>
              <w:ind w:left="47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находить отличия и сходства между предметами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по 2-3 признакам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путем непосредственного сравнения,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4"/>
              </w:numPr>
              <w:contextualSpacing/>
              <w:ind w:left="47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осваивать группировку;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4"/>
              </w:numPr>
              <w:contextualSpacing/>
              <w:ind w:left="47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осваивать классификацию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сериацию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4"/>
              </w:numPr>
              <w:contextualSpacing/>
              <w:ind w:left="47"/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осваивать предметы по 3-4 основным свойствам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посредством игровой и познавательной мотивации организует освоение детьми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contextualSpacing/>
              <w:ind w:left="93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умений выделения сходство и отличие между группами предметов, сравнивать предметы по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3-5 признакам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contextualSpacing/>
              <w:ind w:left="93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группировать предметы по разным основаниям преимущественно на основе зрительной оценки;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5"/>
              </w:numPr>
              <w:contextualSpacing/>
              <w:ind w:left="93"/>
              <w:jc w:val="both"/>
              <w:tabs>
                <w:tab w:val="left" w:pos="376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приёмы сравнения, упорядочивания и классификации на основе выделения их существенных свойств и отношений.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 процессе исследовательской деятельности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8"/>
              </w:numPr>
              <w:contextualSpacing/>
              <w:jc w:val="both"/>
              <w:tabs>
                <w:tab w:val="left" w:pos="280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способы познания свойств и отношений между различными предметами,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7"/>
              </w:numPr>
              <w:contextualSpacing/>
              <w:jc w:val="both"/>
              <w:tabs>
                <w:tab w:val="left" w:pos="280" w:leader="none"/>
              </w:tabs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сравнения нескольких предметов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u w:val="single"/>
                <w:lang w:eastAsia="ru-RU"/>
              </w:rPr>
              <w:t xml:space="preserve">по 4-6 основаниям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с выделением сходства, отличия свойств материалов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представления об использовании цифровых средств познания окружающего мира и правила необходимые соблюдать для их безопасного использования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обогащает представления о цифровых средствах познания окружающего мира, закрепляет правила безопасного обращения с ними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pStyle w:val="724"/>
        <w:ind w:left="360" w:firstLine="0"/>
        <w:jc w:val="both"/>
        <w:spacing w:before="40" w:after="240" w:line="286" w:lineRule="atLeast"/>
        <w:rPr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/>
          <w:b/>
          <w:bCs/>
          <w:sz w:val="24"/>
          <w:szCs w:val="24"/>
          <w:highlight w:val="none"/>
        </w:rPr>
        <w:t xml:space="preserve">Стр. 176 - 2.2.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Инструментарий (УМК) для инвариантной части и вариативной части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е)</w:t>
      </w:r>
      <w:r>
        <w:rPr>
          <w:sz w:val="26"/>
        </w:rPr>
      </w:r>
      <w:r>
        <w:rPr>
          <w:sz w:val="26"/>
        </w:rPr>
      </w:r>
    </w:p>
    <w:tbl>
      <w:tblPr>
        <w:tblStyle w:val="90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30"/>
        <w:gridCol w:w="691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Образовательная область/задачи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Инструментарий инвариантной части программы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Познавательное развитие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426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1.Сенсорные эталоны и познавательные действия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1.Сенсорные эталоны и познавательные действия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jc w:val="both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Савенков А.И. Маленький исследователь. — Самара: ИД «Федоров», 2010. Савенков А.И. Методика исследовательского обучения дошкольников. — Самара: ИД «Федоров», 2010. 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ind w:left="0" w:right="0" w:firstLine="0"/>
              <w:rPr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Пособие «УМники-РАЗУМники»Упражнения для будущих первоклассников (автор И. В. Кузнецова)</w:t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</w:tr>
    </w:tbl>
    <w:p>
      <w:pPr>
        <w:ind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73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4"/>
  </w:num>
  <w:num w:numId="3">
    <w:abstractNumId w:val="2"/>
  </w:num>
  <w:num w:numId="4">
    <w:abstractNumId w:val="3"/>
  </w:num>
  <w:num w:numId="5">
    <w:abstractNumId w:val="15"/>
  </w:num>
  <w:num w:numId="6">
    <w:abstractNumId w:val="16"/>
  </w:num>
  <w:num w:numId="7">
    <w:abstractNumId w:val="28"/>
  </w:num>
  <w:num w:numId="8">
    <w:abstractNumId w:val="14"/>
  </w:num>
  <w:num w:numId="9">
    <w:abstractNumId w:val="29"/>
  </w:num>
  <w:num w:numId="10">
    <w:abstractNumId w:val="13"/>
  </w:num>
  <w:num w:numId="11">
    <w:abstractNumId w:val="9"/>
  </w:num>
  <w:num w:numId="12">
    <w:abstractNumId w:val="31"/>
  </w:num>
  <w:num w:numId="13">
    <w:abstractNumId w:val="8"/>
  </w:num>
  <w:num w:numId="14">
    <w:abstractNumId w:val="20"/>
  </w:num>
  <w:num w:numId="15">
    <w:abstractNumId w:val="6"/>
  </w:num>
  <w:num w:numId="16">
    <w:abstractNumId w:val="18"/>
  </w:num>
  <w:num w:numId="17">
    <w:abstractNumId w:val="22"/>
  </w:num>
  <w:num w:numId="18">
    <w:abstractNumId w:val="1"/>
  </w:num>
  <w:num w:numId="19">
    <w:abstractNumId w:val="26"/>
  </w:num>
  <w:num w:numId="20">
    <w:abstractNumId w:val="12"/>
  </w:num>
  <w:num w:numId="21">
    <w:abstractNumId w:val="11"/>
  </w:num>
  <w:num w:numId="22">
    <w:abstractNumId w:val="24"/>
  </w:num>
  <w:num w:numId="23">
    <w:abstractNumId w:val="7"/>
  </w:num>
  <w:num w:numId="24">
    <w:abstractNumId w:val="33"/>
  </w:num>
  <w:num w:numId="25">
    <w:abstractNumId w:val="27"/>
  </w:num>
  <w:num w:numId="26">
    <w:abstractNumId w:val="0"/>
  </w:num>
  <w:num w:numId="27">
    <w:abstractNumId w:val="23"/>
  </w:num>
  <w:num w:numId="28">
    <w:abstractNumId w:val="17"/>
  </w:num>
  <w:num w:numId="29">
    <w:abstractNumId w:val="5"/>
  </w:num>
  <w:num w:numId="30">
    <w:abstractNumId w:val="30"/>
  </w:num>
  <w:num w:numId="31">
    <w:abstractNumId w:val="21"/>
  </w:num>
  <w:num w:numId="32">
    <w:abstractNumId w:val="10"/>
  </w:num>
  <w:num w:numId="33">
    <w:abstractNumId w:val="3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899"/>
    <w:next w:val="899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basedOn w:val="900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9"/>
    <w:next w:val="899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900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9"/>
    <w:next w:val="899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900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9"/>
    <w:next w:val="899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900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9"/>
    <w:next w:val="899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900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9"/>
    <w:next w:val="899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900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9"/>
    <w:next w:val="899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900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9"/>
    <w:next w:val="899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900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9"/>
    <w:next w:val="899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900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899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899"/>
    <w:next w:val="899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basedOn w:val="900"/>
    <w:link w:val="742"/>
    <w:uiPriority w:val="10"/>
    <w:rPr>
      <w:sz w:val="48"/>
      <w:szCs w:val="48"/>
    </w:rPr>
  </w:style>
  <w:style w:type="paragraph" w:styleId="744">
    <w:name w:val="Subtitle"/>
    <w:basedOn w:val="899"/>
    <w:next w:val="899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basedOn w:val="900"/>
    <w:link w:val="744"/>
    <w:uiPriority w:val="11"/>
    <w:rPr>
      <w:sz w:val="24"/>
      <w:szCs w:val="24"/>
    </w:rPr>
  </w:style>
  <w:style w:type="paragraph" w:styleId="746">
    <w:name w:val="Quote"/>
    <w:basedOn w:val="899"/>
    <w:next w:val="899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899"/>
    <w:next w:val="899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899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basedOn w:val="900"/>
    <w:link w:val="750"/>
    <w:uiPriority w:val="99"/>
  </w:style>
  <w:style w:type="paragraph" w:styleId="752">
    <w:name w:val="Footer"/>
    <w:basedOn w:val="899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basedOn w:val="900"/>
    <w:link w:val="752"/>
    <w:uiPriority w:val="99"/>
  </w:style>
  <w:style w:type="paragraph" w:styleId="754">
    <w:name w:val="Caption"/>
    <w:basedOn w:val="899"/>
    <w:next w:val="8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752"/>
    <w:uiPriority w:val="99"/>
  </w:style>
  <w:style w:type="table" w:styleId="756">
    <w:name w:val="Table Grid Light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5">
    <w:name w:val="List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6">
    <w:name w:val="List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7">
    <w:name w:val="List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8">
    <w:name w:val="List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9">
    <w:name w:val="List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0">
    <w:name w:val="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2">
    <w:name w:val="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3">
    <w:name w:val="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4">
    <w:name w:val="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5">
    <w:name w:val="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6">
    <w:name w:val="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7">
    <w:name w:val="Bordered &amp; 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9">
    <w:name w:val="Bordered &amp; 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0">
    <w:name w:val="Bordered &amp; 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1">
    <w:name w:val="Bordered &amp; 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2">
    <w:name w:val="Bordered &amp; 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3">
    <w:name w:val="Bordered &amp; 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4">
    <w:name w:val="Bordered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paragraph" w:styleId="882">
    <w:name w:val="footnote text"/>
    <w:basedOn w:val="899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>
    <w:name w:val="Footnote Text Char"/>
    <w:link w:val="882"/>
    <w:uiPriority w:val="99"/>
    <w:rPr>
      <w:sz w:val="18"/>
    </w:rPr>
  </w:style>
  <w:style w:type="character" w:styleId="884">
    <w:name w:val="footnote reference"/>
    <w:basedOn w:val="900"/>
    <w:uiPriority w:val="99"/>
    <w:unhideWhenUsed/>
    <w:rPr>
      <w:vertAlign w:val="superscript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basedOn w:val="900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qFormat/>
  </w:style>
  <w:style w:type="character" w:styleId="900" w:default="1">
    <w:name w:val="Default Paragraph Font"/>
    <w:uiPriority w:val="1"/>
    <w:semiHidden/>
    <w:unhideWhenUsed/>
  </w:style>
  <w:style w:type="table" w:styleId="9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2" w:default="1">
    <w:name w:val="No List"/>
    <w:uiPriority w:val="99"/>
    <w:semiHidden/>
    <w:unhideWhenUsed/>
  </w:style>
  <w:style w:type="table" w:styleId="903" w:customStyle="1">
    <w:name w:val="Сетка таблицы2"/>
    <w:basedOn w:val="901"/>
    <w:next w:val="90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>
    <w:name w:val="Table Grid"/>
    <w:basedOn w:val="90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5" w:customStyle="1">
    <w:name w:val="Сетка таблицы21"/>
    <w:basedOn w:val="901"/>
    <w:next w:val="90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6" w:customStyle="1">
    <w:name w:val="Сетка таблицы6"/>
    <w:basedOn w:val="901"/>
    <w:next w:val="90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90F7C158-25CE-46F3-BD9A-06A3D6AB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7</cp:revision>
  <dcterms:created xsi:type="dcterms:W3CDTF">2023-10-06T06:05:00Z</dcterms:created>
  <dcterms:modified xsi:type="dcterms:W3CDTF">2023-12-06T04:32:20Z</dcterms:modified>
</cp:coreProperties>
</file>