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8"/>
        <w:jc w:val="both"/>
        <w:spacing w:before="0" w:after="0" w:line="57" w:lineRule="atLeast"/>
        <w:shd w:val="clear" w:color="ffffff" w:fill="ffffff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 Трудовое воспитание является одной из важнейших сторон воспитания подрастающего поколения. В детском саду трудовое воспитание заключается в ознакомлении детей с трудом взрослых, в приобщении детей к доступной им трудовой деятельности. В процессе ознакомле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ния с трудом взрослых воспитатель формирует у детей положительное отношение к их труду, бережное отношение к его результатам, стремление оказывать взрослым посильную помощь.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      Трудовое воспитание в программе является обязательным компонентом развития базовых и творческих способностей ребенка, важнейшим средством формирования культуры межличностных отношений.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        Ставится задача постепенного развития у детей (с учетом возрастных возможностей и половых особенностей) интереса к труду взрослых, воспитания желания трудиться, навыков элементарной трудовой деятельности, трудолюбия.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        В соответствии с программой, трудовое воспитание включает основные виды: самообслуживание, хозяйственно-бытовой труд, труд в природе, ручной труд, а формы его организации — поручения, дежурства, общий, совместный и коллективный труд детей.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710"/>
        <w:jc w:val="both"/>
        <w:spacing w:before="0" w:after="0" w:line="57" w:lineRule="atLeast"/>
        <w:shd w:val="clear" w:color="ffffff" w:fill="ffffff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Данные методические рекомендации разработаны с целью оказания методической помощи воспитателям в организации трудовой деятельности дошкольников.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          Регулярная и методически правильно организованная работа по трудовому воспитанию к концу пребывания детей в детском саду должна дать следующие результаты: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•        повысится интерес дошкольников к труду;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•        сформируются навыки совместной деятельности;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•        сложится коллектив детей и групповое самоуправление, благодаря сотрудничеству между подгруппами;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•        расширятся представления детей об окружающем;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•        создастся благоприятная атмосфера для проявления личности каждого ребенка и ее становления;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•        ярче раскроются склонности, умения, стремления и активность каждого ребенка;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•        возрастет значимость положительного влияния коллектива на личность; укрепятся товарищеские связи; установятся тесные дружеские контакты, взаимопонимание, взаимоконтроль, взаимопомощь, взаимообучение; </w:t>
      </w: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</w:r>
    </w:p>
    <w:p>
      <w:pPr>
        <w:pStyle w:val="841"/>
        <w:numPr>
          <w:ilvl w:val="0"/>
          <w:numId w:val="3"/>
        </w:numPr>
        <w:ind w:right="0"/>
        <w:jc w:val="both"/>
        <w:spacing w:before="0" w:after="0" w:line="57" w:lineRule="atLeast"/>
        <w:shd w:val="clear" w:color="ffffff" w:fill="ffffff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сотрудничество и поддержка станут нормой поведе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ния;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•        сформируется чувство общественного долга;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u w:val="none"/>
        </w:rPr>
        <w:t xml:space="preserve">•        труд станет для детей потребностью.</w:t>
      </w: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spacing w:after="0" w:line="240" w:lineRule="auto"/>
        <w:rPr>
          <w:rFonts w:ascii="Liberation Serif" w:hAnsi="Liberation Serif" w:eastAsia="Times New Roman" w:cs="Times New Roman"/>
          <w:color w:val="000000" w:themeColor="text1"/>
          <w:sz w:val="24"/>
          <w:szCs w:val="24"/>
          <w:lang w:eastAsia="ru-RU"/>
        </w:rPr>
      </w:pPr>
      <w:r>
        <w:br/>
      </w:r>
      <w:r>
        <w:rPr>
          <w:rFonts w:ascii="Liberation Serif" w:hAnsi="Liberation Serif" w:eastAsia="Times New Roman" w:cs="Times New Roman"/>
          <w:color w:val="000000" w:themeColor="text1"/>
          <w:sz w:val="24"/>
          <w:szCs w:val="24"/>
          <w:highlight w:val="none"/>
          <w:lang w:eastAsia="ru-RU"/>
        </w:rPr>
      </w:r>
      <w:r>
        <w:rPr>
          <w:rFonts w:ascii="Liberation Serif" w:hAnsi="Liberation Serif" w:eastAsia="Times New Roman" w:cs="Times New Roman"/>
          <w:color w:val="000000" w:themeColor="text1"/>
          <w:sz w:val="24"/>
          <w:szCs w:val="24"/>
          <w:lang w:eastAsia="ru-RU"/>
        </w:rPr>
      </w:r>
    </w:p>
    <w:p>
      <w:pPr>
        <w:spacing w:after="0" w:line="240" w:lineRule="auto"/>
        <w:rPr>
          <w:rFonts w:ascii="Liberation Serif" w:hAnsi="Liberation Serif" w:eastAsia="Times New Roman" w:cs="Times New Roman"/>
          <w:color w:val="000000" w:themeColor="text1"/>
          <w:sz w:val="24"/>
          <w:szCs w:val="24"/>
          <w:highlight w:val="none"/>
          <w:lang w:eastAsia="ru-RU"/>
        </w:rPr>
      </w:pPr>
      <w:r>
        <w:rPr>
          <w:rFonts w:ascii="Liberation Serif" w:hAnsi="Liberation Serif" w:eastAsia="Times New Roman" w:cs="Times New Roman"/>
          <w:color w:val="000000" w:themeColor="text1"/>
          <w:sz w:val="24"/>
          <w:szCs w:val="24"/>
          <w:highlight w:val="none"/>
          <w:lang w:eastAsia="ru-RU"/>
        </w:rPr>
      </w:r>
      <w:r>
        <w:rPr>
          <w:rFonts w:ascii="Liberation Serif" w:hAnsi="Liberation Serif" w:eastAsia="Times New Roman" w:cs="Times New Roman"/>
          <w:color w:val="000000" w:themeColor="text1"/>
          <w:sz w:val="24"/>
          <w:szCs w:val="24"/>
          <w:highlight w:val="none"/>
          <w:lang w:eastAsia="ru-RU"/>
        </w:rPr>
      </w:r>
      <w:r>
        <w:rPr>
          <w:rFonts w:ascii="Liberation Serif" w:hAnsi="Liberation Serif" w:eastAsia="Times New Roman" w:cs="Times New Roman"/>
          <w:color w:val="000000" w:themeColor="text1"/>
          <w:sz w:val="24"/>
          <w:szCs w:val="24"/>
          <w:highlight w:val="none"/>
          <w:lang w:eastAsia="ru-RU"/>
        </w:rPr>
      </w:r>
    </w:p>
    <w:p>
      <w:pPr>
        <w:spacing w:after="0" w:line="240" w:lineRule="auto"/>
        <w:rPr>
          <w:rFonts w:ascii="Liberation Serif" w:hAnsi="Liberation Serif" w:eastAsia="Times New Roman" w:cs="Times New Roman"/>
          <w:color w:val="000000" w:themeColor="text1"/>
          <w:sz w:val="24"/>
          <w:szCs w:val="24"/>
          <w:highlight w:val="none"/>
          <w:lang w:eastAsia="ru-RU"/>
        </w:rPr>
      </w:pPr>
      <w:r>
        <w:rPr>
          <w:rFonts w:ascii="Liberation Serif" w:hAnsi="Liberation Serif" w:eastAsia="Times New Roman" w:cs="Times New Roman"/>
          <w:color w:val="000000" w:themeColor="text1"/>
          <w:sz w:val="24"/>
          <w:szCs w:val="24"/>
          <w:lang w:eastAsia="ru-RU"/>
        </w:rPr>
        <w:t xml:space="preserve">Образовательная программа дошкольного образования муниципального автономного дошкольного образовательного учреждения Нижнетуринского городского округа детский сад «Алёнушка»</w:t>
      </w:r>
      <w:r>
        <w:rPr>
          <w:rFonts w:ascii="Liberation Serif" w:hAnsi="Liberation Serif" w:eastAsia="Times New Roman" w:cs="Times New Roman"/>
          <w:color w:val="000000" w:themeColor="text1"/>
          <w:sz w:val="24"/>
          <w:szCs w:val="24"/>
          <w:highlight w:val="none"/>
          <w:lang w:eastAsia="ru-RU"/>
        </w:rPr>
      </w:r>
      <w:r>
        <w:rPr>
          <w:rFonts w:ascii="Liberation Serif" w:hAnsi="Liberation Serif" w:eastAsia="Times New Roman" w:cs="Times New Roman"/>
          <w:color w:val="000000" w:themeColor="text1"/>
          <w:sz w:val="24"/>
          <w:szCs w:val="24"/>
          <w:highlight w:val="none"/>
          <w:lang w:eastAsia="ru-RU"/>
        </w:rPr>
      </w:r>
    </w:p>
    <w:p>
      <w:pPr>
        <w:spacing w:after="0" w:line="240" w:lineRule="auto"/>
        <w:rPr>
          <w:rFonts w:ascii="Liberation Serif" w:hAnsi="Liberation Serif" w:eastAsia="Times New Roman" w:cs="Times New Roman"/>
          <w:color w:val="0563c1"/>
          <w:sz w:val="24"/>
          <w:szCs w:val="24"/>
          <w:u w:val="single"/>
          <w:lang w:val="en-US" w:eastAsia="ru-RU"/>
        </w:rPr>
      </w:pPr>
      <w:r>
        <w:rPr>
          <w:rFonts w:ascii="Liberation Serif" w:hAnsi="Liberation Serif" w:eastAsia="Times New Roman" w:cs="Times New Roman"/>
          <w:color w:val="0563c1"/>
          <w:sz w:val="24"/>
          <w:szCs w:val="24"/>
          <w:u w:val="single"/>
          <w:lang w:eastAsia="ru-RU"/>
        </w:rPr>
      </w:r>
      <w:r>
        <w:rPr>
          <w:rFonts w:ascii="Liberation Serif" w:hAnsi="Liberation Serif" w:eastAsia="Times New Roman" w:cs="Times New Roman"/>
          <w:color w:val="0563c1"/>
          <w:sz w:val="24"/>
          <w:szCs w:val="24"/>
          <w:u w:val="single"/>
          <w:lang w:eastAsia="ru-RU"/>
        </w:rPr>
        <w:t xml:space="preserve">https://alenushka.tvoysadik.ru/org-info/education-implemented-program?id=1</w:t>
      </w:r>
      <w:r>
        <w:rPr>
          <w:rFonts w:ascii="Liberation Serif" w:hAnsi="Liberation Serif" w:eastAsia="Times New Roman" w:cs="Times New Roman"/>
          <w:color w:val="0563c1"/>
          <w:sz w:val="24"/>
          <w:szCs w:val="24"/>
          <w:u w:val="single"/>
          <w:lang w:eastAsia="ru-RU"/>
        </w:rPr>
      </w:r>
      <w:r>
        <w:rPr>
          <w:rFonts w:ascii="Liberation Serif" w:hAnsi="Liberation Serif" w:eastAsia="Times New Roman" w:cs="Times New Roman"/>
          <w:color w:val="0563c1"/>
          <w:sz w:val="24"/>
          <w:szCs w:val="24"/>
          <w:u w:val="single"/>
          <w:lang w:val="en-US" w:eastAsia="ru-RU"/>
        </w:rPr>
      </w:r>
    </w:p>
    <w:p>
      <w:pPr>
        <w:spacing w:after="0" w:line="240" w:lineRule="auto"/>
        <w:rPr>
          <w:rFonts w:ascii="Liberation Serif" w:hAnsi="Liberation Serif" w:eastAsia="Times New Roman" w:cs="Times New Roman"/>
          <w:color w:val="0563c1"/>
          <w:sz w:val="24"/>
          <w:szCs w:val="24"/>
          <w:u w:val="single"/>
          <w:lang w:val="en-US" w:eastAsia="ru-RU"/>
        </w:rPr>
      </w:pPr>
      <w:r>
        <w:rPr>
          <w:rFonts w:ascii="Liberation Serif" w:hAnsi="Liberation Serif" w:eastAsia="Times New Roman" w:cs="Times New Roman"/>
          <w:color w:val="0563c1"/>
          <w:sz w:val="24"/>
          <w:szCs w:val="24"/>
          <w:u w:val="single"/>
          <w:lang w:val="en-US" w:eastAsia="ru-RU"/>
        </w:rPr>
      </w:r>
      <w:r>
        <w:rPr>
          <w:rFonts w:ascii="Liberation Serif" w:hAnsi="Liberation Serif" w:eastAsia="Times New Roman" w:cs="Times New Roman"/>
          <w:color w:val="0563c1"/>
          <w:sz w:val="24"/>
          <w:szCs w:val="24"/>
          <w:u w:val="single"/>
          <w:lang w:val="en-US" w:eastAsia="ru-RU"/>
        </w:rPr>
      </w:r>
      <w:r>
        <w:rPr>
          <w:rFonts w:ascii="Liberation Serif" w:hAnsi="Liberation Serif" w:eastAsia="Times New Roman" w:cs="Times New Roman"/>
          <w:color w:val="0563c1"/>
          <w:sz w:val="24"/>
          <w:szCs w:val="24"/>
          <w:u w:val="single"/>
          <w:lang w:val="en-US" w:eastAsia="ru-RU"/>
        </w:rPr>
      </w:r>
    </w:p>
    <w:p>
      <w:pPr>
        <w:keepLines/>
        <w:keepNext/>
        <w:spacing w:before="240" w:after="0"/>
        <w:rPr>
          <w:rFonts w:ascii="Liberation Serif" w:hAnsi="Liberation Serif" w:eastAsia="Times New Roman" w:cs="Times New Roman"/>
          <w:b/>
          <w:color w:val="000000" w:themeColor="text1"/>
          <w:sz w:val="24"/>
          <w:szCs w:val="24"/>
          <w:lang w:eastAsia="ru-RU"/>
        </w:rPr>
        <w:outlineLvl w:val="0"/>
      </w:pPr>
      <w:r>
        <w:rPr>
          <w:rFonts w:ascii="Liberation Serif" w:hAnsi="Liberation Serif"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стр. </w:t>
      </w:r>
      <w:r>
        <w:rPr>
          <w:rFonts w:ascii="Liberation Serif" w:hAnsi="Liberation Serif" w:eastAsia="Times New Roman" w:cs="Times New Roman"/>
          <w:b/>
          <w:color w:val="000000" w:themeColor="text1"/>
          <w:sz w:val="24"/>
          <w:szCs w:val="24"/>
          <w:lang w:eastAsia="ru-RU"/>
        </w:rPr>
        <w:t xml:space="preserve">51</w:t>
      </w:r>
      <w:r>
        <w:rPr>
          <w:rFonts w:ascii="Liberation Serif" w:hAnsi="Liberation Serif" w:eastAsia="Times New Roman" w:cs="Times New Roman"/>
          <w:b/>
          <w:color w:val="000000" w:themeColor="text1"/>
          <w:sz w:val="24"/>
          <w:szCs w:val="24"/>
          <w:lang w:eastAsia="ru-RU"/>
        </w:rPr>
      </w:r>
      <w:r>
        <w:rPr>
          <w:rFonts w:ascii="Liberation Serif" w:hAnsi="Liberation Serif" w:eastAsia="Times New Roman" w:cs="Times New Roman"/>
          <w:b/>
          <w:color w:val="000000" w:themeColor="text1"/>
          <w:sz w:val="24"/>
          <w:szCs w:val="24"/>
          <w:lang w:eastAsia="ru-RU"/>
        </w:rPr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40"/>
        <w:gridCol w:w="2349"/>
        <w:gridCol w:w="2397"/>
        <w:gridCol w:w="2259"/>
      </w:tblGrid>
      <w:tr>
        <w:trPr>
          <w:jc w:val="center"/>
          <w:trHeight w:val="20"/>
        </w:trPr>
        <w:tc>
          <w:tcPr>
            <w:gridSpan w:val="4"/>
            <w:shd w:val="clear" w:color="auto" w:fill="auto"/>
            <w:tcW w:w="93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  <w:t xml:space="preserve">Задачи в сфере трудового воспитания</w:t>
            </w: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20"/>
        </w:trPr>
        <w:tc>
          <w:tcPr>
            <w:shd w:val="clear" w:color="auto" w:fill="auto"/>
            <w:tcW w:w="23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3-4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3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4-5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3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5-6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2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6-7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20"/>
        </w:trPr>
        <w:tc>
          <w:tcPr>
            <w:shd w:val="clear" w:color="auto" w:fill="auto"/>
            <w:tcW w:w="23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Развивать интерес к труду взрослых в ДОО и в семье;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34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Формировать представления об отдельных профессиях взрослых на основе ознакомления с конкретными видами труда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Формировать представления о профессиях и трудовых процессах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25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Формировать представления о труде как ценности общества, о разнообразии и взаимосвязи видов труда и профессий;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20"/>
        </w:trPr>
        <w:tc>
          <w:tcPr>
            <w:shd w:val="clear" w:color="auto" w:fill="auto"/>
            <w:tcW w:w="23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474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Вовлекать в простейшие процессы хозяйственно-бытового труда</w:t>
            </w: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25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Поддерживать освоение умений сотрудничества в совместном труде;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20"/>
        </w:trPr>
        <w:tc>
          <w:tcPr>
            <w:shd w:val="clear" w:color="auto" w:fill="auto"/>
            <w:tcW w:w="234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Воспитывать бережное отношение к предметам и игрушкам как результатам труда взрослых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34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Воспитывать уважение и благодарность взрослым за их труд, заботу о детях;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39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Воспитывать бережное отношение к труду взрослых, к результатам их труда;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25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Воспитывать ответственность, добросовестность, стремление к участию в труде взрослых, оказанию посильной помощи;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20"/>
        </w:trPr>
        <w:tc>
          <w:tcPr>
            <w:shd w:val="clear" w:color="auto" w:fill="auto"/>
            <w:tcW w:w="234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34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3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2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Развивать ценностное отношение к труду взрослых;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20"/>
        </w:trPr>
        <w:tc>
          <w:tcPr>
            <w:shd w:val="clear" w:color="auto" w:fill="auto"/>
            <w:tcW w:w="23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34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Развивать самостоятельность и уверенность в самообслуживании, желании включаться в повседневные трудовые дела в ДОО и семье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Развивать самостоятельность и инициативу в трудовой деятельности по самообслуживанию, хозяйственно-бытовому, ручному труду и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конструированию, труду в природе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2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Развивать интерес и самостоятельность в разных видах доступного труда, умения включаться в реальные трудовые связи со взрослыми и сверстниками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20"/>
        </w:trPr>
        <w:tc>
          <w:tcPr>
            <w:shd w:val="clear" w:color="auto" w:fill="auto"/>
            <w:tcW w:w="23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34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3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Знакомить детей с элементарными экономическими знаниями, формировать первоначальные представления о финансовой грамотности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22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</w:tr>
    </w:tbl>
    <w:p>
      <w:pPr>
        <w:jc w:val="center"/>
        <w:spacing w:after="0" w:line="240" w:lineRule="auto"/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r>
    </w:p>
    <w:p>
      <w:pPr>
        <w:spacing w:after="0" w:line="240" w:lineRule="auto"/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  <w:t xml:space="preserve">Стр. 61</w:t>
      </w: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  <w:t xml:space="preserve">Содержание в сфере трудового воспитания</w:t>
      </w:r>
      <w:r>
        <w:rPr>
          <w:rFonts w:ascii="Liberation Serif" w:hAnsi="Liberation Serif" w:eastAsia="Times New Roman" w:cs="Liberation Serif"/>
          <w:sz w:val="24"/>
          <w:szCs w:val="24"/>
          <w:lang w:eastAsia="ru-RU"/>
        </w:rPr>
      </w:r>
      <w:r>
        <w:rPr>
          <w:rFonts w:ascii="Liberation Serif" w:hAnsi="Liberation Serif" w:eastAsia="Times New Roman" w:cs="Liberation Serif"/>
          <w:sz w:val="24"/>
          <w:szCs w:val="24"/>
          <w:lang w:eastAsia="ru-RU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29"/>
        <w:gridCol w:w="2494"/>
        <w:gridCol w:w="2269"/>
        <w:gridCol w:w="2253"/>
      </w:tblGrid>
      <w:tr>
        <w:trPr>
          <w:trHeight w:val="20"/>
        </w:trPr>
        <w:tc>
          <w:tcPr>
            <w:tcW w:w="125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3-4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31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4-5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22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5-6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21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6-7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0"/>
        </w:trPr>
        <w:tc>
          <w:tcPr>
            <w:tcW w:w="1253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Педа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например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: ручка на входной двери нужна для того, чтобы удобнее было открыть дверь и прочее).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31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Педагог расширяет представление детей о предметах как результате труда взрослых,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22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21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0"/>
        </w:trPr>
        <w:tc>
          <w:tcPr>
            <w:tcW w:w="1253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Знакомит детей с основными свойствами и качествами материалов, из которых изготовлены предметы, знакомые ребенку (картон, бумага, дерево,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31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Педагог расширяет представление детей о многообразии предметного мира материалов (металл, стекло, бумага, картон, кожа и тому подобное), знакомит детей с ключевыми характеристиками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материалов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22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21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0"/>
        </w:trPr>
        <w:tc>
          <w:tcPr>
            <w:tcW w:w="1253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Моделирует ситуации для активизации желания детей включиться в выполнение простейших действий бытового труда.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31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Педагог знакомит детей с содержанием и структурой процессов хозяйственно-бытового труда взрослых, обогащает их представления на примере профессий педагогов и рабочих ДОО.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22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Педагог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 обогащает представления детей о труде взрослых, знакомит детей 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21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Педагог расширяет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потребностями людей.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0"/>
        </w:trPr>
        <w:tc>
          <w:tcPr>
            <w:tcW w:w="1253" w:type="pct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Поощряет желание детей соблюдать порядок при: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- раздевании на дневной сон (аккуратное складывание одежды),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- уборке рабочего места после продуктивных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видов деятельности (лепки, рисования, аппликации) и тому подобное. Использует при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емы одобрения и поощрения ребенка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31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инициативность, используя приемы поощрения и одобрения правильных действий детей, результатов процесса самообслуживания.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В процессе самообслуживания обращает внимание детей на необходимость бережного отношения к вещам: </w:t>
            </w:r>
            <w:r>
              <w:rPr>
                <w:rFonts w:ascii="Liberation Serif" w:hAnsi="Liberation Serif" w:eastAsia="Times New Roman" w:cs="Liberation Serif"/>
                <w:i/>
                <w:sz w:val="24"/>
                <w:szCs w:val="24"/>
                <w:lang w:eastAsia="ru-RU"/>
              </w:rPr>
              <w:t xml:space="preserve">аккуратное складывание одежды, возвращение игрушек на место после игры и тому подобное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22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Педагог продолжает поощрять инициативность и самостоятельность детей в процессах самообслуживания в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группе :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- убрать постель после сна,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- расставить ровно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стулья за столами в зоне учебной деятельности),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создает проблемные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 бытового труда: </w:t>
            </w:r>
            <w:r>
              <w:rPr>
                <w:rFonts w:ascii="Liberation Serif" w:hAnsi="Liberation Serif" w:eastAsia="Times New Roman" w:cs="Liberation Serif"/>
                <w:i/>
                <w:sz w:val="24"/>
                <w:szCs w:val="24"/>
                <w:lang w:eastAsia="ru-RU"/>
              </w:rPr>
              <w:t xml:space="preserve">вымыть тарелку после обеда, вытереть пыль в комнате, застелить кровать, погладить носовой платок, покормить домашнего питомца и тому подобное.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21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Поощряет инициативность и самостоятельность детей в процессах самообслуживания в группе: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- убрать постель после сна,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- расставить ровно стулья за столами в зоне учебной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деятельности,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создает проблемные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</w:t>
            </w:r>
            <w:r>
              <w:rPr>
                <w:rFonts w:ascii="Liberation Serif" w:hAnsi="Liberation Serif" w:eastAsia="Times New Roman" w:cs="Liberation Serif"/>
                <w:i/>
                <w:sz w:val="24"/>
                <w:szCs w:val="24"/>
                <w:lang w:eastAsia="ru-RU"/>
              </w:rPr>
              <w:t xml:space="preserve">вымыть тарелку после обеда, вытереть пыль в комнате, застелить кровать, погладить носовой платок, покормить домашнего питомца и тому подобное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0"/>
        </w:trPr>
        <w:tc>
          <w:tcPr>
            <w:tcW w:w="1253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31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2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21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0"/>
        </w:trPr>
        <w:tc>
          <w:tcPr>
            <w:tcW w:w="125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314" w:type="pct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В процессе самообслуживания педагог напо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процессе выполнения действий.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221" w:type="pct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21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использования инструментов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труда - ножниц, иголки и тому подобное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0"/>
        </w:trPr>
        <w:tc>
          <w:tcPr>
            <w:tcW w:w="1253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Педагог поддерживает стремления ребенка самостоятельно выполнять отдельные действия самообслуживания: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- одевание на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прогулку,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- умывание после сна или перед приемом пищи,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- элементарный уход за собой (расчесывание волос, поддержание опрятности одежды, пользовани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314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2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121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</w:r>
          </w:p>
        </w:tc>
      </w:tr>
      <w:tr>
        <w:trPr>
          <w:trHeight w:val="20"/>
        </w:trPr>
        <w:tc>
          <w:tcPr>
            <w:tcW w:w="125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Педагог формирует первоначальные представления о хозяйственно-бытовом труде взрослых дома и в группе ДОО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2535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Педа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гог поддерживает инициативу детей узнать и рассказать о трудовой деятельности взрослых, поощряет коммуникативную активность ребенка, связанную с желанием рассказать о профессии мамы или папы, описать их трудовые действия, рассказать о результатах их труда.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21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Организует этические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обязанности.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W w:w="1253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31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Педагог рассказывает детям о бытовой технике, помогающей взрослым организовать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бытовой труд дома: стиральная и посудомоечная машины, пылесос,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мультиварка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, миксер, мясорубка; беседует с детьми о назначении бытовой техники, формирует представление о ее назначении для ускорения и облегчения процессов бытового труда.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W w:w="243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Педагог формирует представление детей о современной технике, в том числе цифровой, ее разнообразии, создает образовательные ситуации для знакомства детей с конкретными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техническими приборами, показывает, как техника способствует ускорению получения результата труда и облегчению труда взрослых.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W w:w="1253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131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22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  <w:t xml:space="preserve">Педагог создает условия для знакомства детей с экономическими знаниями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, рассказывает о назначении рекламы для распространения информации о товаре, формирует представление о финансовой грамотности человека, обсуждает с детьми назначени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  <w:tc>
          <w:tcPr>
            <w:tcW w:w="121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u w:val="single"/>
                <w:lang w:eastAsia="ru-RU"/>
              </w:rPr>
              <w:t xml:space="preserve">Педагог создает игровые и проблемные ситуации для расширения представлений детей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ного поведения в процессе реализации обменных операций: деньги - товар (продажа - покупка), формирует представления о реальной стоимости и цене отдельных продуктов питания, игрушек, детских книг. В процессе обсуждения с детьми основ финансовой грамотности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  <w:t xml:space="preserve">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r>
          </w:p>
        </w:tc>
      </w:tr>
    </w:tbl>
    <w:p>
      <w:pPr>
        <w:keepLines/>
        <w:keepNext/>
        <w:spacing w:before="240" w:after="0"/>
        <w:rPr>
          <w:rFonts w:ascii="Liberation Serif" w:hAnsi="Liberation Serif"/>
          <w:b/>
          <w:sz w:val="24"/>
          <w:szCs w:val="24"/>
        </w:rPr>
        <w:outlineLvl w:val="0"/>
      </w:pPr>
      <w:r>
        <w:rPr>
          <w:rFonts w:ascii="Liberation Serif" w:hAnsi="Liberation Serif"/>
          <w:b/>
          <w:sz w:val="24"/>
          <w:szCs w:val="24"/>
        </w:rPr>
        <w:t xml:space="preserve">Стр. 172</w:t>
      </w:r>
      <w:r>
        <w:rPr>
          <w:rFonts w:ascii="Liberation Serif" w:hAnsi="Liberation Serif"/>
          <w:b/>
          <w:sz w:val="24"/>
          <w:szCs w:val="24"/>
        </w:rPr>
      </w:r>
      <w:r>
        <w:rPr>
          <w:rFonts w:ascii="Liberation Serif" w:hAnsi="Liberation Serif"/>
          <w:b/>
          <w:sz w:val="24"/>
          <w:szCs w:val="24"/>
        </w:rPr>
      </w:r>
    </w:p>
    <w:p>
      <w:pPr>
        <w:pStyle w:val="841"/>
        <w:numPr>
          <w:ilvl w:val="1"/>
          <w:numId w:val="2"/>
        </w:numPr>
        <w:jc w:val="both"/>
        <w:keepLines/>
        <w:keepNext/>
        <w:spacing w:before="40" w:after="240" w:line="264" w:lineRule="auto"/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  <w:outlineLvl w:val="1"/>
      </w:pPr>
      <w:r/>
      <w:bookmarkStart w:id="0" w:name="_Toc146529553"/>
      <w:r/>
      <w:bookmarkStart w:id="1" w:name="_Toc146537053"/>
      <w:r/>
      <w:bookmarkStart w:id="2" w:name="_Toc146545770"/>
      <w:r/>
      <w:bookmarkStart w:id="3" w:name="_Toc146550538"/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  <w:t xml:space="preserve">Ин</w:t>
      </w: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  <w:t xml:space="preserve">струментарий (УМК) для инвариантной части и вариативной части по решению задач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</w:t>
      </w:r>
      <w:bookmarkEnd w:id="0"/>
      <w:r/>
      <w:bookmarkEnd w:id="1"/>
      <w:r/>
      <w:bookmarkEnd w:id="2"/>
      <w:r/>
      <w:bookmarkEnd w:id="3"/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72"/>
        <w:gridCol w:w="537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  <w:lang w:eastAsia="ru-RU"/>
              </w:rPr>
              <w:t xml:space="preserve">Образовательная область/задачи</w:t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7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  <w:lang w:eastAsia="ru-RU"/>
              </w:rPr>
              <w:t xml:space="preserve">Инструментарий инвариантной части программы</w:t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  <w:lang w:eastAsia="ru-RU"/>
              </w:rPr>
              <w:t xml:space="preserve">Социально-коммуникативное развитие</w:t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Труд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ОБЖ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Социальные отношения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Формирование гражданственности и патриотизма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Задачи ссылка на ФОП ДО Приказ Министерства просвещения Российской Федерации от 25.11.2022 № 1028 "Об утверждении федеральной образовательной программы дошкольного образования" (Зарегистрирован 28.12.2022 № 71847)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7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  <w:lang w:eastAsia="ru-RU"/>
              </w:rPr>
              <w:t xml:space="preserve">Труд</w:t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Куцакова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Л.В. Трудовое воспитание в детском саду: Для занятий с детьми 3–7 лет. Партнерство дошкольной организации и семьи / Под ред. С.С. Прищепа, Т.С.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Шатверян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Рыжова Н.А. Труд и наблюдения в природе: методическое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пособие для воспитателей и учителей начальной школы. — М.: Цветной мир, 2015. Рыжова Н.А. «Я — сам!» Поддержка детской инициативы. Учебный видеофильм на DVD с текстом (методические рекомендации). // Приложение к журналу «Обруч» «Видеофильм на DVD», 2010. </w:t>
            </w:r>
            <w:bookmarkStart w:id="4" w:name="_GoBack"/>
            <w:r/>
            <w:bookmarkEnd w:id="4"/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ind w:left="720"/>
        <w:jc w:val="both"/>
        <w:spacing w:after="0" w:line="240" w:lineRule="auto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/>
      <w:hyperlink r:id="rId9" w:tooltip="https://alenushka.tvoysadik.ru/site/pub?id=693" w:history="1">
        <w:r>
          <w:rPr>
            <w:rFonts w:ascii="Liberation Serif" w:hAnsi="Liberation Serif" w:eastAsia="Times New Roman" w:cs="Liberation Serif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Электронные образовательные ресурсы для педагогов ДОУ и родителей (tvoysadik.ru)</w:t>
        </w:r>
      </w:hyperlink>
      <w:r>
        <w:rPr>
          <w:rFonts w:ascii="Liberation Serif" w:hAnsi="Liberation Serif" w:eastAsia="Times New Roman" w:cs="Liberation Serif"/>
          <w:sz w:val="24"/>
          <w:szCs w:val="24"/>
          <w:lang w:eastAsia="ru-RU"/>
        </w:rPr>
      </w:r>
      <w:r>
        <w:rPr>
          <w:rFonts w:ascii="Liberation Serif" w:hAnsi="Liberation Serif" w:eastAsia="Times New Roman" w:cs="Liberation Serif"/>
          <w:sz w:val="24"/>
          <w:szCs w:val="24"/>
          <w:lang w:eastAsia="ru-RU"/>
        </w:rPr>
      </w:r>
    </w:p>
    <w:p>
      <w:pPr>
        <w:ind w:left="720"/>
        <w:jc w:val="both"/>
        <w:spacing w:after="0" w:line="240" w:lineRule="auto"/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r>
      <w:r>
        <w:rPr>
          <w:rFonts w:ascii="Liberation Serif" w:hAnsi="Liberation Serif" w:eastAsia="Times New Roman" w:cs="Liberation Serif"/>
          <w:b/>
          <w:sz w:val="24"/>
          <w:szCs w:val="24"/>
          <w:lang w:eastAsia="ru-RU"/>
        </w:rPr>
      </w:r>
    </w:p>
    <w:p>
      <w:pPr>
        <w:keepLines/>
        <w:keepNext/>
        <w:spacing w:before="240" w:after="0"/>
        <w:outlineLvl w:val="0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36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8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5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9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6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120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7"/>
    <w:next w:val="837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8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7"/>
    <w:next w:val="837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8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7"/>
    <w:next w:val="837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8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7"/>
    <w:next w:val="837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8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7"/>
    <w:next w:val="837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8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7"/>
    <w:next w:val="837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8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7"/>
    <w:next w:val="837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8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7"/>
    <w:next w:val="837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8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7"/>
    <w:next w:val="837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8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7"/>
    <w:next w:val="837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basedOn w:val="838"/>
    <w:link w:val="679"/>
    <w:uiPriority w:val="10"/>
    <w:rPr>
      <w:sz w:val="48"/>
      <w:szCs w:val="48"/>
    </w:rPr>
  </w:style>
  <w:style w:type="paragraph" w:styleId="681">
    <w:name w:val="Subtitle"/>
    <w:basedOn w:val="837"/>
    <w:next w:val="837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basedOn w:val="838"/>
    <w:link w:val="681"/>
    <w:uiPriority w:val="11"/>
    <w:rPr>
      <w:sz w:val="24"/>
      <w:szCs w:val="24"/>
    </w:rPr>
  </w:style>
  <w:style w:type="paragraph" w:styleId="683">
    <w:name w:val="Quote"/>
    <w:basedOn w:val="837"/>
    <w:next w:val="837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7"/>
    <w:next w:val="837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7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basedOn w:val="838"/>
    <w:link w:val="687"/>
    <w:uiPriority w:val="99"/>
  </w:style>
  <w:style w:type="paragraph" w:styleId="689">
    <w:name w:val="Footer"/>
    <w:basedOn w:val="837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basedOn w:val="838"/>
    <w:link w:val="689"/>
    <w:uiPriority w:val="99"/>
  </w:style>
  <w:style w:type="paragraph" w:styleId="691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689"/>
    <w:uiPriority w:val="99"/>
  </w:style>
  <w:style w:type="table" w:styleId="693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3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4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5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6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7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8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List Paragraph"/>
    <w:basedOn w:val="83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alenushka.tvoysadik.ru/site/pub?id=69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Шитова</cp:lastModifiedBy>
  <cp:revision>4</cp:revision>
  <dcterms:created xsi:type="dcterms:W3CDTF">2023-10-06T04:20:00Z</dcterms:created>
  <dcterms:modified xsi:type="dcterms:W3CDTF">2023-12-06T04:27:26Z</dcterms:modified>
</cp:coreProperties>
</file>